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C0" w:rsidRDefault="00013EC0">
      <w:bookmarkStart w:id="0" w:name="_GoBack"/>
      <w:bookmarkEnd w:id="0"/>
    </w:p>
    <w:p w:rsidR="00162777" w:rsidRDefault="00162777">
      <w:r w:rsidRPr="00162777">
        <w:rPr>
          <w:noProof/>
          <w:lang w:eastAsia="pt-BR"/>
        </w:rPr>
        <w:drawing>
          <wp:inline distT="0" distB="0" distL="0" distR="0">
            <wp:extent cx="6479540" cy="5028811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02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77" w:rsidRDefault="00162777"/>
    <w:p w:rsidR="00162777" w:rsidRPr="00162777" w:rsidRDefault="006C525D">
      <w:pPr>
        <w:rPr>
          <w:sz w:val="20"/>
          <w:szCs w:val="20"/>
        </w:rPr>
      </w:pPr>
      <w:hyperlink r:id="rId6" w:history="1">
        <w:r w:rsidR="00162777" w:rsidRPr="00162777">
          <w:rPr>
            <w:rStyle w:val="Hyperlink"/>
            <w:sz w:val="20"/>
            <w:szCs w:val="20"/>
          </w:rPr>
          <w:t>https://www.thermofisher.com/br/en/home/life-science/cell-analysis/cellular-imaging/fluorescence-microscopy-and-immunofluorescence-if/mounting-medium-antifades.html</w:t>
        </w:r>
      </w:hyperlink>
    </w:p>
    <w:p w:rsidR="00162777" w:rsidRDefault="00162777"/>
    <w:p w:rsidR="00162777" w:rsidRDefault="00162777"/>
    <w:sectPr w:rsidR="00162777" w:rsidSect="00AE2F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77"/>
    <w:rsid w:val="00013EC0"/>
    <w:rsid w:val="00162777"/>
    <w:rsid w:val="005716CD"/>
    <w:rsid w:val="006C525D"/>
    <w:rsid w:val="00AE2F5D"/>
    <w:rsid w:val="00B75FF0"/>
    <w:rsid w:val="00D0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277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2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277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2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rmofisher.com/br/en/home/life-science/cell-analysis/cellular-imaging/fluorescence-microscopy-and-immunofluorescence-if/mounting-medium-antifades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reviewer</cp:lastModifiedBy>
  <cp:revision>2</cp:revision>
  <dcterms:created xsi:type="dcterms:W3CDTF">2016-09-08T13:51:00Z</dcterms:created>
  <dcterms:modified xsi:type="dcterms:W3CDTF">2016-09-08T13:51:00Z</dcterms:modified>
</cp:coreProperties>
</file>